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D325E6C" w14:textId="77777777" w:rsidR="00194B4F" w:rsidRDefault="00B724B0">
      <w:pPr>
        <w:pStyle w:val="normal0"/>
        <w:jc w:val="center"/>
      </w:pPr>
      <w:r>
        <w:rPr>
          <w:b/>
          <w:sz w:val="28"/>
        </w:rPr>
        <w:t>Template | Unit Enhancement</w:t>
      </w:r>
    </w:p>
    <w:p w14:paraId="205D245C" w14:textId="77777777" w:rsidR="00194B4F" w:rsidRDefault="00B724B0">
      <w:pPr>
        <w:pStyle w:val="normal0"/>
        <w:jc w:val="center"/>
      </w:pPr>
      <w:r>
        <w:t xml:space="preserve"> </w:t>
      </w:r>
    </w:p>
    <w:p w14:paraId="3048B012" w14:textId="77777777" w:rsidR="00194B4F" w:rsidRDefault="00B724B0">
      <w:pPr>
        <w:pStyle w:val="normal0"/>
        <w:jc w:val="center"/>
      </w:pPr>
      <w:r>
        <w:rPr>
          <w:b/>
          <w:i/>
          <w:sz w:val="32"/>
        </w:rPr>
        <w:t>EXPLANATION &amp; ARGUMENTATION</w:t>
      </w:r>
    </w:p>
    <w:p w14:paraId="6F97636D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1DCE31FA" w14:textId="77777777" w:rsidR="00194B4F" w:rsidRDefault="00B724B0">
      <w:pPr>
        <w:pStyle w:val="normal0"/>
        <w:spacing w:before="40" w:after="40"/>
      </w:pPr>
      <w:r>
        <w:rPr>
          <w:b/>
          <w:sz w:val="28"/>
        </w:rPr>
        <w:t>Background Information</w:t>
      </w:r>
    </w:p>
    <w:p w14:paraId="0A601486" w14:textId="77777777" w:rsidR="00194B4F" w:rsidRDefault="00B724B0">
      <w:pPr>
        <w:pStyle w:val="normal0"/>
        <w:spacing w:before="40" w:after="40"/>
      </w:pPr>
      <w:r>
        <w:rPr>
          <w:b/>
        </w:rPr>
        <w:t>Instructional Materials Title:</w:t>
      </w:r>
      <w:r w:rsidR="00F05A99">
        <w:rPr>
          <w:b/>
        </w:rPr>
        <w:t xml:space="preserve"> Sound Unit</w:t>
      </w:r>
    </w:p>
    <w:p w14:paraId="22FFFDD9" w14:textId="77777777" w:rsidR="00194B4F" w:rsidRDefault="00B724B0">
      <w:pPr>
        <w:pStyle w:val="normal0"/>
        <w:spacing w:before="40" w:after="40"/>
      </w:pPr>
      <w:r>
        <w:rPr>
          <w:b/>
        </w:rPr>
        <w:t>Publication Date:</w:t>
      </w:r>
      <w:r w:rsidR="00F05A99">
        <w:rPr>
          <w:b/>
        </w:rPr>
        <w:t xml:space="preserve"> August 23</w:t>
      </w:r>
      <w:r w:rsidR="00F05A99" w:rsidRPr="00F05A99">
        <w:rPr>
          <w:b/>
          <w:vertAlign w:val="superscript"/>
        </w:rPr>
        <w:t>rd</w:t>
      </w:r>
      <w:r w:rsidR="00F05A99">
        <w:rPr>
          <w:b/>
        </w:rPr>
        <w:t>, 2013</w:t>
      </w:r>
    </w:p>
    <w:p w14:paraId="51BA24E7" w14:textId="77777777" w:rsidR="00194B4F" w:rsidRDefault="00B724B0">
      <w:pPr>
        <w:pStyle w:val="normal0"/>
        <w:spacing w:before="40" w:after="40"/>
      </w:pPr>
      <w:r>
        <w:rPr>
          <w:b/>
        </w:rPr>
        <w:t>Work Group Participants:</w:t>
      </w:r>
      <w:r w:rsidR="00F05A99" w:rsidRPr="00F05A99">
        <w:rPr>
          <w:b/>
        </w:rPr>
        <w:t xml:space="preserve"> </w:t>
      </w:r>
      <w:r w:rsidR="00F05A99">
        <w:rPr>
          <w:b/>
        </w:rPr>
        <w:t>Ti</w:t>
      </w:r>
      <w:r w:rsidR="00551052">
        <w:rPr>
          <w:b/>
        </w:rPr>
        <w:t xml:space="preserve">ffany </w:t>
      </w:r>
      <w:proofErr w:type="spellStart"/>
      <w:r w:rsidR="00551052">
        <w:rPr>
          <w:b/>
        </w:rPr>
        <w:t>Evenstad</w:t>
      </w:r>
      <w:proofErr w:type="spellEnd"/>
      <w:r w:rsidR="00551052">
        <w:rPr>
          <w:b/>
        </w:rPr>
        <w:t xml:space="preserve">, Jeannie </w:t>
      </w:r>
      <w:proofErr w:type="spellStart"/>
      <w:r w:rsidR="00551052">
        <w:rPr>
          <w:b/>
        </w:rPr>
        <w:t>Revello</w:t>
      </w:r>
      <w:proofErr w:type="spellEnd"/>
      <w:r w:rsidR="00F05A99">
        <w:rPr>
          <w:b/>
        </w:rPr>
        <w:t xml:space="preserve">, Stephanie Chen, </w:t>
      </w:r>
      <w:proofErr w:type="gramStart"/>
      <w:r w:rsidR="00F05A99">
        <w:rPr>
          <w:b/>
        </w:rPr>
        <w:t>Erin</w:t>
      </w:r>
      <w:proofErr w:type="gramEnd"/>
      <w:r w:rsidR="00F05A99">
        <w:rPr>
          <w:b/>
        </w:rPr>
        <w:t xml:space="preserve"> Bell</w:t>
      </w:r>
    </w:p>
    <w:p w14:paraId="6D269F29" w14:textId="77777777" w:rsidR="00194B4F" w:rsidRDefault="00B724B0">
      <w:pPr>
        <w:pStyle w:val="normal0"/>
        <w:spacing w:before="40" w:after="40"/>
      </w:pPr>
      <w:r>
        <w:rPr>
          <w:b/>
        </w:rPr>
        <w:t>Date Developed:</w:t>
      </w:r>
      <w:r w:rsidR="00F05A99">
        <w:rPr>
          <w:b/>
        </w:rPr>
        <w:t xml:space="preserve"> August 21</w:t>
      </w:r>
      <w:r w:rsidR="00F05A99" w:rsidRPr="00F05A99">
        <w:rPr>
          <w:b/>
          <w:vertAlign w:val="superscript"/>
        </w:rPr>
        <w:t>st</w:t>
      </w:r>
      <w:r w:rsidR="00F05A99">
        <w:rPr>
          <w:b/>
        </w:rPr>
        <w:t>,</w:t>
      </w:r>
      <w:r w:rsidR="00551052">
        <w:rPr>
          <w:b/>
        </w:rPr>
        <w:t xml:space="preserve"> </w:t>
      </w:r>
      <w:r w:rsidR="00F05A99">
        <w:rPr>
          <w:b/>
        </w:rPr>
        <w:t>2013</w:t>
      </w:r>
    </w:p>
    <w:p w14:paraId="7DB4E1A6" w14:textId="77777777" w:rsidR="00194B4F" w:rsidRDefault="00B724B0">
      <w:pPr>
        <w:pStyle w:val="normal0"/>
        <w:spacing w:before="40" w:after="40"/>
      </w:pPr>
      <w:r>
        <w:rPr>
          <w:b/>
        </w:rPr>
        <w:t>High Leverage Lesson (Title and Page Number):</w:t>
      </w:r>
      <w:r w:rsidR="00551052">
        <w:rPr>
          <w:b/>
        </w:rPr>
        <w:t xml:space="preserve"> </w:t>
      </w:r>
      <w:r w:rsidR="00F05A99">
        <w:rPr>
          <w:b/>
        </w:rPr>
        <w:t>Lesson 8</w:t>
      </w:r>
      <w:r w:rsidR="00551052">
        <w:rPr>
          <w:b/>
        </w:rPr>
        <w:t>, page 31 in Instructional Guide</w:t>
      </w:r>
    </w:p>
    <w:p w14:paraId="1F41A3F4" w14:textId="77777777" w:rsidR="00194B4F" w:rsidRDefault="00B724B0">
      <w:pPr>
        <w:pStyle w:val="normal0"/>
        <w:spacing w:before="40" w:after="40"/>
      </w:pPr>
      <w:r>
        <w:rPr>
          <w:b/>
        </w:rPr>
        <w:t>_______________________________________________________________________</w:t>
      </w:r>
    </w:p>
    <w:p w14:paraId="343B8ADA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Rationale</w:t>
      </w:r>
    </w:p>
    <w:p w14:paraId="6B4AA469" w14:textId="77777777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</w:t>
      </w:r>
      <w:proofErr w:type="gramStart"/>
      <w:r>
        <w:rPr>
          <w:b/>
          <w:color w:val="7F7F7F"/>
        </w:rPr>
        <w:t>Why</w:t>
      </w:r>
      <w:proofErr w:type="gramEnd"/>
      <w:r>
        <w:rPr>
          <w:b/>
          <w:color w:val="7F7F7F"/>
        </w:rPr>
        <w:t xml:space="preserve"> we identified this particular lesson</w:t>
      </w:r>
      <w:r w:rsidR="00551052">
        <w:rPr>
          <w:b/>
          <w:color w:val="7F7F7F"/>
        </w:rPr>
        <w:t xml:space="preserve">: It helps students understand the big idea that sound causes objects to vibrate. </w:t>
      </w:r>
    </w:p>
    <w:p w14:paraId="29923A78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- Connections to NGSS Practices and WA Science Standards</w:t>
      </w:r>
      <w:r w:rsidR="00551052">
        <w:rPr>
          <w:b/>
          <w:color w:val="7F7F7F"/>
        </w:rPr>
        <w:t xml:space="preserve">: Learn to use CER framework to make a claim using evidence and reasoning. </w:t>
      </w:r>
    </w:p>
    <w:p w14:paraId="69D9DDD7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66206F8C" w14:textId="77777777" w:rsidR="00194B4F" w:rsidRDefault="00B724B0">
      <w:pPr>
        <w:pStyle w:val="normal0"/>
        <w:spacing w:after="200"/>
      </w:pPr>
      <w:r>
        <w:rPr>
          <w:b/>
          <w:i/>
          <w:sz w:val="28"/>
        </w:rPr>
        <w:t>Explanation</w:t>
      </w:r>
      <w:r>
        <w:rPr>
          <w:b/>
          <w:sz w:val="28"/>
        </w:rPr>
        <w:t xml:space="preserve"> Lesson Enhancement</w:t>
      </w:r>
    </w:p>
    <w:p w14:paraId="05644406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Overview</w:t>
      </w:r>
    </w:p>
    <w:p w14:paraId="72925ED0" w14:textId="77777777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Identification of where within the High Leverage Lesson to insert enhancement</w:t>
      </w:r>
    </w:p>
    <w:p w14:paraId="744C3A16" w14:textId="77777777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instructional strategies and tools needed</w:t>
      </w:r>
    </w:p>
    <w:p w14:paraId="2B5D46D2" w14:textId="77777777" w:rsidR="00194B4F" w:rsidRDefault="00B724B0">
      <w:pPr>
        <w:pStyle w:val="normal0"/>
      </w:pPr>
      <w:r>
        <w:t xml:space="preserve"> </w:t>
      </w:r>
    </w:p>
    <w:p w14:paraId="34729E43" w14:textId="77777777" w:rsidR="00194B4F" w:rsidRDefault="00B724B0">
      <w:pPr>
        <w:pStyle w:val="normal0"/>
        <w:spacing w:after="200"/>
        <w:rPr>
          <w:b/>
        </w:rPr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Explanation</w:t>
      </w:r>
      <w:r>
        <w:rPr>
          <w:b/>
        </w:rPr>
        <w:t xml:space="preserve"> Experience</w:t>
      </w:r>
    </w:p>
    <w:p w14:paraId="2C2E3E1E" w14:textId="77777777" w:rsidR="00D2727D" w:rsidRDefault="00D2727D">
      <w:pPr>
        <w:pStyle w:val="normal0"/>
        <w:spacing w:after="200"/>
      </w:pPr>
      <w:r>
        <w:rPr>
          <w:b/>
        </w:rPr>
        <w:t>1.At the end of step 1 of reflect and explain.</w:t>
      </w:r>
    </w:p>
    <w:p w14:paraId="0511CD35" w14:textId="77777777" w:rsidR="00194B4F" w:rsidRDefault="00194B4F">
      <w:pPr>
        <w:pStyle w:val="normal0"/>
        <w:spacing w:after="200"/>
      </w:pPr>
    </w:p>
    <w:p w14:paraId="16FA2899" w14:textId="77777777" w:rsidR="00194B4F" w:rsidRDefault="00B724B0">
      <w:pPr>
        <w:pStyle w:val="normal0"/>
        <w:spacing w:after="200"/>
        <w:rPr>
          <w:b/>
        </w:rPr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Explanation</w:t>
      </w:r>
      <w:r>
        <w:rPr>
          <w:b/>
        </w:rPr>
        <w:t xml:space="preserve"> Learning Sequence</w:t>
      </w:r>
    </w:p>
    <w:p w14:paraId="15F42DDB" w14:textId="77777777" w:rsidR="00D2727D" w:rsidRDefault="00D2727D" w:rsidP="00D2727D">
      <w:pPr>
        <w:pStyle w:val="normal0"/>
        <w:spacing w:after="200"/>
        <w:rPr>
          <w:b/>
        </w:rPr>
      </w:pPr>
      <w:r>
        <w:rPr>
          <w:b/>
        </w:rPr>
        <w:t>1.Focus Question: What causes the tea leaves to move?</w:t>
      </w:r>
    </w:p>
    <w:p w14:paraId="538FEDD8" w14:textId="77777777" w:rsidR="00D2727D" w:rsidRDefault="00D2727D" w:rsidP="00D2727D">
      <w:pPr>
        <w:pStyle w:val="normal0"/>
        <w:spacing w:after="200"/>
        <w:ind w:left="720"/>
        <w:rPr>
          <w:b/>
        </w:rPr>
      </w:pPr>
      <w:r>
        <w:rPr>
          <w:b/>
        </w:rPr>
        <w:t>Claim: Sound from the noisemaker causes th</w:t>
      </w:r>
      <w:r w:rsidR="00B81EA4">
        <w:rPr>
          <w:b/>
        </w:rPr>
        <w:t>e latex to vibrate which causes the tealeaves to move.</w:t>
      </w:r>
    </w:p>
    <w:p w14:paraId="53A455A7" w14:textId="77777777" w:rsidR="00D2727D" w:rsidRDefault="00D2727D" w:rsidP="00D2727D">
      <w:pPr>
        <w:pStyle w:val="normal0"/>
        <w:spacing w:after="200"/>
        <w:rPr>
          <w:b/>
        </w:rPr>
      </w:pPr>
      <w:r>
        <w:rPr>
          <w:b/>
        </w:rPr>
        <w:t xml:space="preserve">2. </w:t>
      </w:r>
      <w:r w:rsidR="00B81EA4">
        <w:rPr>
          <w:b/>
        </w:rPr>
        <w:t xml:space="preserve">Evidence: </w:t>
      </w:r>
      <w:r w:rsidR="00BA2FF3">
        <w:rPr>
          <w:b/>
        </w:rPr>
        <w:t xml:space="preserve">The noisemaker makes noise, the tealeaves move and the noisemaker is not touching anything. </w:t>
      </w:r>
    </w:p>
    <w:p w14:paraId="6276CDDE" w14:textId="77777777" w:rsidR="00B81EA4" w:rsidRDefault="00B81EA4" w:rsidP="00B81EA4">
      <w:pPr>
        <w:pStyle w:val="normal0"/>
        <w:spacing w:after="200"/>
        <w:rPr>
          <w:b/>
        </w:rPr>
      </w:pPr>
      <w:r>
        <w:rPr>
          <w:b/>
        </w:rPr>
        <w:t>3.</w:t>
      </w:r>
      <w:r w:rsidRPr="00B81EA4">
        <w:rPr>
          <w:b/>
        </w:rPr>
        <w:t xml:space="preserve"> </w:t>
      </w:r>
      <w:r>
        <w:rPr>
          <w:b/>
        </w:rPr>
        <w:t>Reasoning refers to scientific f</w:t>
      </w:r>
      <w:r w:rsidR="00447DD7">
        <w:rPr>
          <w:b/>
        </w:rPr>
        <w:t xml:space="preserve">acts: </w:t>
      </w:r>
      <w:r w:rsidR="00BA2FF3">
        <w:rPr>
          <w:b/>
        </w:rPr>
        <w:t xml:space="preserve">I know that the sound from the noisemaker causes the latex to vibrate. I know that because sound travels through air and the tealeaves move because the latex vibrates. </w:t>
      </w:r>
    </w:p>
    <w:p w14:paraId="02C4B490" w14:textId="77777777" w:rsidR="00B81EA4" w:rsidRDefault="00B81EA4" w:rsidP="00D2727D">
      <w:pPr>
        <w:pStyle w:val="normal0"/>
        <w:spacing w:after="200"/>
        <w:rPr>
          <w:b/>
        </w:rPr>
      </w:pPr>
    </w:p>
    <w:p w14:paraId="4F4FB5E7" w14:textId="77777777" w:rsidR="00D2727D" w:rsidRDefault="00D2727D" w:rsidP="00D2727D">
      <w:pPr>
        <w:pStyle w:val="normal0"/>
        <w:spacing w:after="200"/>
      </w:pPr>
    </w:p>
    <w:p w14:paraId="40024499" w14:textId="77777777" w:rsidR="00194B4F" w:rsidRDefault="00194B4F">
      <w:pPr>
        <w:pStyle w:val="normal0"/>
        <w:spacing w:after="200"/>
      </w:pPr>
    </w:p>
    <w:p w14:paraId="320E7EB8" w14:textId="77777777" w:rsidR="00194B4F" w:rsidRDefault="00B724B0">
      <w:pPr>
        <w:pStyle w:val="normal0"/>
        <w:spacing w:after="200"/>
      </w:pPr>
      <w:r>
        <w:rPr>
          <w:b/>
          <w:u w:val="single"/>
        </w:rPr>
        <w:lastRenderedPageBreak/>
        <w:t>Part 3-A</w:t>
      </w:r>
      <w:r>
        <w:rPr>
          <w:b/>
        </w:rPr>
        <w:t>: Describe Assessment Task</w:t>
      </w:r>
    </w:p>
    <w:p w14:paraId="71202A37" w14:textId="77777777" w:rsidR="00194B4F" w:rsidRDefault="00B724B0">
      <w:pPr>
        <w:pStyle w:val="normal0"/>
        <w:spacing w:after="200"/>
      </w:pPr>
      <w:r>
        <w:rPr>
          <w:i/>
        </w:rPr>
        <w:t xml:space="preserve">Include the </w:t>
      </w:r>
      <w:r>
        <w:rPr>
          <w:b/>
          <w:i/>
        </w:rPr>
        <w:t>question</w:t>
      </w:r>
      <w:r>
        <w:rPr>
          <w:i/>
        </w:rPr>
        <w:t xml:space="preserve">, </w:t>
      </w:r>
      <w:r>
        <w:rPr>
          <w:b/>
          <w:i/>
        </w:rPr>
        <w:t>evidence</w:t>
      </w:r>
      <w:r>
        <w:rPr>
          <w:i/>
        </w:rPr>
        <w:t xml:space="preserve"> students will use, and </w:t>
      </w:r>
      <w:r>
        <w:rPr>
          <w:b/>
          <w:i/>
        </w:rPr>
        <w:t>scientific concepts</w:t>
      </w:r>
      <w:r>
        <w:rPr>
          <w:i/>
        </w:rPr>
        <w:t xml:space="preserve"> students will use in their reasoning.</w:t>
      </w:r>
    </w:p>
    <w:p w14:paraId="7A0063DB" w14:textId="77777777" w:rsidR="00194B4F" w:rsidRDefault="00B724B0">
      <w:pPr>
        <w:pStyle w:val="normal0"/>
        <w:spacing w:after="200"/>
        <w:rPr>
          <w:b/>
        </w:rPr>
      </w:pPr>
      <w:r>
        <w:t xml:space="preserve"> </w:t>
      </w:r>
      <w:r>
        <w:rPr>
          <w:b/>
          <w:u w:val="single"/>
        </w:rPr>
        <w:t>Part 3-B</w:t>
      </w:r>
      <w:r>
        <w:rPr>
          <w:b/>
        </w:rPr>
        <w:t>: Assessment Rubric</w:t>
      </w:r>
    </w:p>
    <w:p w14:paraId="5EA1CB7D" w14:textId="6B521A20" w:rsidR="000461B8" w:rsidRDefault="000461B8">
      <w:pPr>
        <w:pStyle w:val="normal0"/>
        <w:spacing w:after="20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0461B8" w14:paraId="7D3B40E9" w14:textId="77777777" w:rsidTr="000461B8">
        <w:tc>
          <w:tcPr>
            <w:tcW w:w="2754" w:type="dxa"/>
          </w:tcPr>
          <w:p w14:paraId="10B296F5" w14:textId="4C9C2CDC" w:rsidR="000461B8" w:rsidRDefault="000461B8">
            <w:pPr>
              <w:pStyle w:val="normal0"/>
              <w:spacing w:after="20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54" w:type="dxa"/>
          </w:tcPr>
          <w:p w14:paraId="2E560135" w14:textId="1E71CF1D" w:rsidR="000461B8" w:rsidRDefault="000461B8">
            <w:pPr>
              <w:pStyle w:val="normal0"/>
              <w:spacing w:after="20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54" w:type="dxa"/>
          </w:tcPr>
          <w:p w14:paraId="34791DAE" w14:textId="0F234130" w:rsidR="000461B8" w:rsidRDefault="000461B8">
            <w:pPr>
              <w:pStyle w:val="normal0"/>
              <w:spacing w:after="20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54" w:type="dxa"/>
          </w:tcPr>
          <w:p w14:paraId="2574645E" w14:textId="56888403" w:rsidR="000461B8" w:rsidRDefault="000461B8">
            <w:pPr>
              <w:pStyle w:val="normal0"/>
              <w:spacing w:after="200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461B8" w14:paraId="31094B58" w14:textId="77777777" w:rsidTr="000461B8">
        <w:tc>
          <w:tcPr>
            <w:tcW w:w="2754" w:type="dxa"/>
          </w:tcPr>
          <w:p w14:paraId="653637E2" w14:textId="37F0F573" w:rsidR="000461B8" w:rsidRDefault="000461B8">
            <w:pPr>
              <w:pStyle w:val="normal0"/>
              <w:spacing w:after="200"/>
              <w:rPr>
                <w:b/>
              </w:rPr>
            </w:pPr>
            <w:r>
              <w:rPr>
                <w:b/>
              </w:rPr>
              <w:t>States claim, evidence and complete reasoning.</w:t>
            </w:r>
          </w:p>
        </w:tc>
        <w:tc>
          <w:tcPr>
            <w:tcW w:w="2754" w:type="dxa"/>
          </w:tcPr>
          <w:p w14:paraId="6C0AC213" w14:textId="06811140" w:rsidR="000461B8" w:rsidRDefault="000461B8">
            <w:pPr>
              <w:pStyle w:val="normal0"/>
              <w:spacing w:after="200"/>
              <w:rPr>
                <w:b/>
              </w:rPr>
            </w:pPr>
            <w:r>
              <w:rPr>
                <w:b/>
              </w:rPr>
              <w:t>States claim, evidence, and some or incomplete reasoning.</w:t>
            </w:r>
          </w:p>
        </w:tc>
        <w:tc>
          <w:tcPr>
            <w:tcW w:w="2754" w:type="dxa"/>
          </w:tcPr>
          <w:p w14:paraId="73C43F19" w14:textId="207F6DFD" w:rsidR="000461B8" w:rsidRDefault="000461B8">
            <w:pPr>
              <w:pStyle w:val="normal0"/>
              <w:spacing w:after="200"/>
              <w:rPr>
                <w:b/>
              </w:rPr>
            </w:pPr>
            <w:r>
              <w:rPr>
                <w:b/>
              </w:rPr>
              <w:t>States claim, evidence.</w:t>
            </w:r>
          </w:p>
        </w:tc>
        <w:tc>
          <w:tcPr>
            <w:tcW w:w="2754" w:type="dxa"/>
          </w:tcPr>
          <w:p w14:paraId="4AB58703" w14:textId="53AB3D0E" w:rsidR="000461B8" w:rsidRDefault="000461B8">
            <w:pPr>
              <w:pStyle w:val="normal0"/>
              <w:spacing w:after="200"/>
              <w:rPr>
                <w:b/>
              </w:rPr>
            </w:pPr>
            <w:r>
              <w:rPr>
                <w:b/>
              </w:rPr>
              <w:t xml:space="preserve">States only claim and some or incomplete evidence. </w:t>
            </w:r>
          </w:p>
        </w:tc>
      </w:tr>
    </w:tbl>
    <w:p w14:paraId="0B55CB51" w14:textId="711EEA81" w:rsidR="000461B8" w:rsidRDefault="000461B8">
      <w:pPr>
        <w:pStyle w:val="normal0"/>
        <w:spacing w:after="200"/>
      </w:pPr>
    </w:p>
    <w:p w14:paraId="7C03CDB4" w14:textId="77777777" w:rsidR="00194B4F" w:rsidRDefault="00B724B0">
      <w:pPr>
        <w:pStyle w:val="normal0"/>
        <w:spacing w:after="200"/>
      </w:pPr>
      <w:r>
        <w:t xml:space="preserve"> ______________________________________________________________________</w:t>
      </w:r>
    </w:p>
    <w:p w14:paraId="38F76A0D" w14:textId="77777777" w:rsidR="00194B4F" w:rsidRDefault="00B724B0">
      <w:pPr>
        <w:pStyle w:val="normal0"/>
        <w:spacing w:after="200"/>
      </w:pPr>
      <w:r>
        <w:rPr>
          <w:b/>
          <w:sz w:val="28"/>
        </w:rPr>
        <w:t>Additional Information</w:t>
      </w:r>
    </w:p>
    <w:p w14:paraId="06AC51B6" w14:textId="77777777" w:rsidR="00194B4F" w:rsidRDefault="00B724B0">
      <w:pPr>
        <w:pStyle w:val="normal0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14:paraId="1BC7768E" w14:textId="77777777" w:rsidR="00194B4F" w:rsidRDefault="00B724B0">
      <w:pPr>
        <w:pStyle w:val="normal0"/>
        <w:spacing w:after="20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</w:p>
    <w:p w14:paraId="5C9A2839" w14:textId="59FC8D27" w:rsidR="00E543DF" w:rsidRPr="008B178A" w:rsidRDefault="00B724B0" w:rsidP="00E543DF">
      <w:pPr>
        <w:pStyle w:val="normal0"/>
        <w:numPr>
          <w:ilvl w:val="0"/>
          <w:numId w:val="4"/>
        </w:numPr>
        <w:spacing w:after="200"/>
        <w:rPr>
          <w:color w:val="7F7F7F"/>
        </w:rPr>
      </w:pPr>
      <w:r>
        <w:rPr>
          <w:color w:val="7F7F7F"/>
        </w:rPr>
        <w:t>- Resources that will be useful</w:t>
      </w:r>
      <w:r w:rsidR="00CD3131">
        <w:rPr>
          <w:color w:val="7F7F7F"/>
        </w:rPr>
        <w:t>: Some other materials that produce air other than the noisemaker.</w:t>
      </w:r>
      <w:r w:rsidR="00E543DF">
        <w:rPr>
          <w:color w:val="7F7F7F"/>
        </w:rPr>
        <w:t xml:space="preserve"> In addition, p</w:t>
      </w:r>
      <w:r w:rsidR="00E543DF">
        <w:rPr>
          <w:color w:val="7F7F7F"/>
        </w:rPr>
        <w:t>ossibly using a KLEWs chart in conjunction with the data table.</w:t>
      </w:r>
      <w:r w:rsidR="00252154">
        <w:rPr>
          <w:color w:val="7F7F7F"/>
        </w:rPr>
        <w:t xml:space="preserve"> Furthermore, using the flow chart SPS writing packet p.12.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79"/>
        <w:gridCol w:w="6666"/>
      </w:tblGrid>
      <w:tr w:rsidR="00E543DF" w14:paraId="765238CB" w14:textId="77777777" w:rsidTr="00492FE1">
        <w:trPr>
          <w:trHeight w:val="280"/>
        </w:trPr>
        <w:tc>
          <w:tcPr>
            <w:tcW w:w="3879" w:type="dxa"/>
          </w:tcPr>
          <w:p w14:paraId="21060D71" w14:textId="77777777" w:rsidR="00E543DF" w:rsidRPr="009F0266" w:rsidRDefault="00E543DF" w:rsidP="00492FE1">
            <w:pPr>
              <w:rPr>
                <w:b/>
              </w:rPr>
            </w:pPr>
            <w:r w:rsidRPr="009F0266">
              <w:rPr>
                <w:b/>
              </w:rPr>
              <w:t>COMPONTENT</w:t>
            </w:r>
          </w:p>
        </w:tc>
        <w:tc>
          <w:tcPr>
            <w:tcW w:w="6666" w:type="dxa"/>
          </w:tcPr>
          <w:p w14:paraId="003E6FC3" w14:textId="77777777" w:rsidR="00E543DF" w:rsidRPr="009F0266" w:rsidRDefault="00E543DF" w:rsidP="00492FE1">
            <w:pPr>
              <w:rPr>
                <w:b/>
              </w:rPr>
            </w:pPr>
            <w:r w:rsidRPr="009F0266">
              <w:rPr>
                <w:b/>
              </w:rPr>
              <w:t>DESCRIPTION</w:t>
            </w:r>
          </w:p>
        </w:tc>
      </w:tr>
      <w:tr w:rsidR="00E543DF" w14:paraId="463E4595" w14:textId="77777777" w:rsidTr="00492FE1">
        <w:trPr>
          <w:trHeight w:val="560"/>
        </w:trPr>
        <w:tc>
          <w:tcPr>
            <w:tcW w:w="3879" w:type="dxa"/>
          </w:tcPr>
          <w:p w14:paraId="4B59C35A" w14:textId="77777777" w:rsidR="00E543DF" w:rsidRDefault="00E543DF" w:rsidP="00492FE1">
            <w:r>
              <w:t>KNOW (K)</w:t>
            </w:r>
          </w:p>
        </w:tc>
        <w:tc>
          <w:tcPr>
            <w:tcW w:w="6666" w:type="dxa"/>
          </w:tcPr>
          <w:p w14:paraId="4DA82272" w14:textId="77777777" w:rsidR="00E543DF" w:rsidRDefault="00E543DF" w:rsidP="00492FE1">
            <w:r>
              <w:t>Document the uncovering of prior knowledge by asking, “what do you think you know about _____?”</w:t>
            </w:r>
          </w:p>
        </w:tc>
      </w:tr>
      <w:tr w:rsidR="00E543DF" w14:paraId="247E0AAF" w14:textId="77777777" w:rsidTr="00492FE1">
        <w:trPr>
          <w:trHeight w:val="840"/>
        </w:trPr>
        <w:tc>
          <w:tcPr>
            <w:tcW w:w="3879" w:type="dxa"/>
          </w:tcPr>
          <w:p w14:paraId="5E003A9F" w14:textId="77777777" w:rsidR="00E543DF" w:rsidRDefault="00E543DF" w:rsidP="00492FE1">
            <w:r>
              <w:t>LEARNING (L)</w:t>
            </w:r>
          </w:p>
        </w:tc>
        <w:tc>
          <w:tcPr>
            <w:tcW w:w="6666" w:type="dxa"/>
          </w:tcPr>
          <w:p w14:paraId="49D5C944" w14:textId="77777777" w:rsidR="00E543DF" w:rsidRDefault="00E543DF" w:rsidP="00492FE1">
            <w:r>
              <w:t xml:space="preserve">This is the </w:t>
            </w:r>
            <w:r w:rsidRPr="00B96E51">
              <w:rPr>
                <w:b/>
              </w:rPr>
              <w:t xml:space="preserve">CLAIM </w:t>
            </w:r>
            <w:r>
              <w:t xml:space="preserve">column. </w:t>
            </w:r>
          </w:p>
          <w:p w14:paraId="299717F0" w14:textId="77777777" w:rsidR="00E543DF" w:rsidRDefault="00E543DF" w:rsidP="00492FE1">
            <w:r>
              <w:t>Entries are based on statements of learning in response to the guiding question.</w:t>
            </w:r>
          </w:p>
        </w:tc>
      </w:tr>
      <w:tr w:rsidR="00E543DF" w14:paraId="55D6B249" w14:textId="77777777" w:rsidTr="00492FE1">
        <w:trPr>
          <w:trHeight w:val="1120"/>
        </w:trPr>
        <w:tc>
          <w:tcPr>
            <w:tcW w:w="3879" w:type="dxa"/>
          </w:tcPr>
          <w:p w14:paraId="126CB3C5" w14:textId="77777777" w:rsidR="00E543DF" w:rsidRDefault="00E543DF" w:rsidP="00492FE1">
            <w:r>
              <w:t>EVIDENCE (E)</w:t>
            </w:r>
          </w:p>
        </w:tc>
        <w:tc>
          <w:tcPr>
            <w:tcW w:w="6666" w:type="dxa"/>
          </w:tcPr>
          <w:p w14:paraId="6F393806" w14:textId="77777777" w:rsidR="00E543DF" w:rsidRDefault="00E543DF" w:rsidP="00492FE1">
            <w:r w:rsidRPr="00B96E51">
              <w:rPr>
                <w:b/>
              </w:rPr>
              <w:t>Evidence</w:t>
            </w:r>
            <w:r>
              <w:t xml:space="preserve"> is added to the chart when students share their observations before claims are constructed.</w:t>
            </w:r>
          </w:p>
          <w:p w14:paraId="01272583" w14:textId="77777777" w:rsidR="00E543DF" w:rsidRDefault="00E543DF" w:rsidP="00492FE1">
            <w:r>
              <w:t>Arrows are used on the chart to connect claims to multiple pieces of evidence</w:t>
            </w:r>
          </w:p>
        </w:tc>
      </w:tr>
      <w:tr w:rsidR="00E543DF" w14:paraId="4E5ABE77" w14:textId="77777777" w:rsidTr="00492FE1">
        <w:trPr>
          <w:trHeight w:val="1680"/>
        </w:trPr>
        <w:tc>
          <w:tcPr>
            <w:tcW w:w="3879" w:type="dxa"/>
          </w:tcPr>
          <w:p w14:paraId="28826DFE" w14:textId="77777777" w:rsidR="00E543DF" w:rsidRDefault="00E543DF" w:rsidP="00492FE1">
            <w:r>
              <w:t>WONDERINGS (W)</w:t>
            </w:r>
          </w:p>
        </w:tc>
        <w:tc>
          <w:tcPr>
            <w:tcW w:w="6666" w:type="dxa"/>
          </w:tcPr>
          <w:p w14:paraId="2EC2758D" w14:textId="77777777" w:rsidR="00E543DF" w:rsidRDefault="00E543DF" w:rsidP="00492FE1">
            <w:r>
              <w:t>Testable questions are documented as they arise and every effort is made to test them at some point in the unit. Testable questions often surface during investigations.</w:t>
            </w:r>
          </w:p>
          <w:p w14:paraId="7524789D" w14:textId="77777777" w:rsidR="00E543DF" w:rsidRDefault="00E543DF" w:rsidP="00492FE1">
            <w:pPr>
              <w:rPr>
                <w:i/>
              </w:rPr>
            </w:pPr>
          </w:p>
          <w:p w14:paraId="13340970" w14:textId="77777777" w:rsidR="00E543DF" w:rsidRPr="009F0266" w:rsidRDefault="00E543DF" w:rsidP="00492FE1">
            <w:pPr>
              <w:rPr>
                <w:i/>
              </w:rPr>
            </w:pPr>
            <w:r w:rsidRPr="009F0266">
              <w:rPr>
                <w:i/>
              </w:rPr>
              <w:t>Misconceptions can be rephrased as testable questions.</w:t>
            </w:r>
          </w:p>
        </w:tc>
      </w:tr>
      <w:tr w:rsidR="00E543DF" w14:paraId="7BBE8A1E" w14:textId="77777777" w:rsidTr="00492FE1">
        <w:trPr>
          <w:trHeight w:val="1427"/>
        </w:trPr>
        <w:tc>
          <w:tcPr>
            <w:tcW w:w="3879" w:type="dxa"/>
          </w:tcPr>
          <w:p w14:paraId="0A49BE97" w14:textId="77777777" w:rsidR="00E543DF" w:rsidRDefault="00E543DF" w:rsidP="00492FE1">
            <w:r>
              <w:t>SCIENTIFIC PRINCIPLES (S)</w:t>
            </w:r>
          </w:p>
        </w:tc>
        <w:tc>
          <w:tcPr>
            <w:tcW w:w="6666" w:type="dxa"/>
          </w:tcPr>
          <w:p w14:paraId="4A2154C9" w14:textId="77777777" w:rsidR="00E543DF" w:rsidRDefault="00E543DF" w:rsidP="00492FE1">
            <w:r>
              <w:t>Throughout the science unit, science concepts are added to this column. They are used during discourse to build a more complete explanation by further elaborating the connection among claims and evidence.</w:t>
            </w:r>
          </w:p>
        </w:tc>
      </w:tr>
    </w:tbl>
    <w:p w14:paraId="4E1BEB58" w14:textId="28D05D5B" w:rsidR="00194B4F" w:rsidRDefault="00194B4F">
      <w:pPr>
        <w:pStyle w:val="normal0"/>
        <w:spacing w:after="200"/>
      </w:pPr>
    </w:p>
    <w:p w14:paraId="20206CEE" w14:textId="181DE1E7" w:rsidR="00194B4F" w:rsidRDefault="00B724B0">
      <w:pPr>
        <w:pStyle w:val="normal0"/>
        <w:spacing w:after="200"/>
      </w:pPr>
      <w:r>
        <w:rPr>
          <w:color w:val="7F7F7F"/>
        </w:rPr>
        <w:lastRenderedPageBreak/>
        <w:t>- Scaffolds that students will use</w:t>
      </w:r>
      <w:r w:rsidR="00CD3131">
        <w:t xml:space="preserve">: Students can draw a diagram of the investigation and during the discussion </w:t>
      </w:r>
      <w:proofErr w:type="gramStart"/>
      <w:r w:rsidR="00CD3131">
        <w:t>the</w:t>
      </w:r>
      <w:proofErr w:type="gramEnd"/>
      <w:r w:rsidR="00CD3131">
        <w:t xml:space="preserve"> students can use </w:t>
      </w:r>
      <w:r w:rsidR="00FB3B96">
        <w:t xml:space="preserve">the following </w:t>
      </w:r>
      <w:r w:rsidR="00E543DF">
        <w:t>sentence frame</w:t>
      </w:r>
      <w:r w:rsidR="00CD3131">
        <w:t xml:space="preserve">. </w:t>
      </w:r>
      <w:r w:rsidR="00E543DF">
        <w:t xml:space="preserve"> </w:t>
      </w:r>
    </w:p>
    <w:p w14:paraId="1FA5EF40" w14:textId="02CA20F4" w:rsidR="00CD3131" w:rsidRDefault="00CD3131">
      <w:pPr>
        <w:pStyle w:val="normal0"/>
        <w:spacing w:after="200"/>
      </w:pPr>
      <w:r>
        <w:t>Claim: I know that ______________ causes _________________</w:t>
      </w:r>
    </w:p>
    <w:p w14:paraId="6AEE3B29" w14:textId="77777777" w:rsidR="00CD3131" w:rsidRDefault="00CD3131">
      <w:pPr>
        <w:pStyle w:val="normal0"/>
        <w:spacing w:after="200"/>
      </w:pPr>
      <w:r>
        <w:t xml:space="preserve">My evidence is ___________________________________ and this happens because I have learned that </w:t>
      </w:r>
    </w:p>
    <w:p w14:paraId="6DE4EFA3" w14:textId="506072FA" w:rsidR="00CD3131" w:rsidRDefault="00CD3131">
      <w:pPr>
        <w:pStyle w:val="normal0"/>
        <w:spacing w:after="200"/>
      </w:pPr>
      <w:r>
        <w:t>____________________________________________________________________________________.</w:t>
      </w:r>
    </w:p>
    <w:p w14:paraId="16FFB7C3" w14:textId="77777777" w:rsidR="00194B4F" w:rsidRDefault="00194B4F">
      <w:pPr>
        <w:pStyle w:val="normal0"/>
        <w:spacing w:after="200"/>
      </w:pPr>
    </w:p>
    <w:p w14:paraId="6B396A63" w14:textId="77777777" w:rsidR="00194B4F" w:rsidRDefault="00194B4F">
      <w:pPr>
        <w:pStyle w:val="normal0"/>
        <w:spacing w:after="200"/>
      </w:pPr>
    </w:p>
    <w:sectPr w:rsidR="00194B4F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1B1E5C" w14:textId="77777777" w:rsidR="00447DD7" w:rsidRDefault="00447DD7">
      <w:r>
        <w:separator/>
      </w:r>
    </w:p>
  </w:endnote>
  <w:endnote w:type="continuationSeparator" w:id="0">
    <w:p w14:paraId="4BF09ACE" w14:textId="77777777" w:rsidR="00447DD7" w:rsidRDefault="0044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C4BA5" w14:textId="77777777" w:rsidR="00447DD7" w:rsidRDefault="00447DD7">
    <w:pPr>
      <w:pStyle w:val="normal0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B33ACC" w14:textId="77777777" w:rsidR="00447DD7" w:rsidRDefault="00447DD7">
      <w:r>
        <w:separator/>
      </w:r>
    </w:p>
  </w:footnote>
  <w:footnote w:type="continuationSeparator" w:id="0">
    <w:p w14:paraId="4202405E" w14:textId="77777777" w:rsidR="00447DD7" w:rsidRDefault="00447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61B27"/>
    <w:multiLevelType w:val="hybridMultilevel"/>
    <w:tmpl w:val="9044F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952EE"/>
    <w:multiLevelType w:val="hybridMultilevel"/>
    <w:tmpl w:val="50D6786E"/>
    <w:lvl w:ilvl="0" w:tplc="8D241FF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73780"/>
    <w:multiLevelType w:val="hybridMultilevel"/>
    <w:tmpl w:val="A884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0648D0"/>
    <w:multiLevelType w:val="hybridMultilevel"/>
    <w:tmpl w:val="BE9CE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0461B8"/>
    <w:rsid w:val="00194B4F"/>
    <w:rsid w:val="00252154"/>
    <w:rsid w:val="00447DD7"/>
    <w:rsid w:val="00551052"/>
    <w:rsid w:val="0081766D"/>
    <w:rsid w:val="00B724B0"/>
    <w:rsid w:val="00B81EA4"/>
    <w:rsid w:val="00BA2FF3"/>
    <w:rsid w:val="00CD3131"/>
    <w:rsid w:val="00D2727D"/>
    <w:rsid w:val="00E543DF"/>
    <w:rsid w:val="00F05A99"/>
    <w:rsid w:val="00FB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554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3DF"/>
    <w:rPr>
      <w:lang w:eastAsia="en-US"/>
    </w:rPr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0461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3DF"/>
    <w:rPr>
      <w:lang w:eastAsia="en-US"/>
    </w:rPr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0461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560</Words>
  <Characters>3196</Characters>
  <Application>Microsoft Macintosh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cp:lastModifiedBy>SPS</cp:lastModifiedBy>
  <cp:revision>8</cp:revision>
  <dcterms:created xsi:type="dcterms:W3CDTF">2013-08-23T18:12:00Z</dcterms:created>
  <dcterms:modified xsi:type="dcterms:W3CDTF">2013-08-23T21:10:00Z</dcterms:modified>
</cp:coreProperties>
</file>